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AF" w:rsidRDefault="00104281" w:rsidP="00632CAA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</w:pPr>
      <w:r w:rsidRPr="00601C7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01C7F">
        <w:rPr>
          <w:rFonts w:ascii="Times New Roman" w:hAnsi="Times New Roman" w:cs="Times New Roman"/>
          <w:b/>
          <w:sz w:val="24"/>
          <w:szCs w:val="24"/>
        </w:rPr>
        <w:instrText xml:space="preserve"> HYPERLINK "https://bkobr.ru/deyatelnost/monitoring-otsenki-kachestva-doshkolnogo-obrazovaniya/kachestvo-obrazovatelnykh-uslovij-v-doo-kadrovye-usloviya-razvivayushchaya-predmetno-prostranstvennaya-sreda-psikhologo-pedagogicheskie-usloviya/2593-kachestvo-obrazovatelnykh-uslovij-v-doo-kadrovye-usloviya-razvivayushchaya-predmetno-prostranstvennaya-sreda-psikhologo-pedagogicheskie-usloviya" </w:instrText>
      </w:r>
      <w:r w:rsidRPr="00601C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41CAF" w:rsidRPr="00601C7F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>Качест</w:t>
      </w:r>
      <w:r w:rsidR="00601C7F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>во образовательных условий в ДОУ</w:t>
      </w:r>
      <w:r w:rsidR="00D41CAF" w:rsidRPr="00601C7F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 xml:space="preserve"> (кадровые условия, развивающая предметно-пространственная среда, психолого-педагогические условия)</w:t>
      </w:r>
      <w:r w:rsidRPr="00601C7F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 xml:space="preserve"> за 2021</w:t>
      </w:r>
      <w:r w:rsidR="00347FF8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>-2022 учебный</w:t>
      </w:r>
      <w:r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 xml:space="preserve"> год</w:t>
      </w:r>
      <w:r w:rsidR="00347FF8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 xml:space="preserve"> Бай-</w:t>
      </w:r>
      <w:proofErr w:type="spellStart"/>
      <w:r w:rsidR="00347FF8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>Тайгинского</w:t>
      </w:r>
      <w:proofErr w:type="spellEnd"/>
      <w:r w:rsidR="00347FF8">
        <w:rPr>
          <w:rFonts w:ascii="Times New Roman" w:eastAsia="Times New Roman" w:hAnsi="Times New Roman" w:cs="Times New Roman"/>
          <w:b/>
          <w:bCs/>
          <w:color w:val="0E1D2C"/>
          <w:sz w:val="24"/>
          <w:szCs w:val="24"/>
          <w:lang w:eastAsia="ru-RU"/>
        </w:rPr>
        <w:t xml:space="preserve"> района</w:t>
      </w:r>
    </w:p>
    <w:p w:rsidR="00632CAA" w:rsidRPr="00601C7F" w:rsidRDefault="00632CAA" w:rsidP="00632CAA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качестве показателей, характеризующих кадровые условия дошкольного образования, оценивались: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8727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Обеспеченность ДОО педагогическими кадрам.</w:t>
      </w:r>
    </w:p>
    <w:p w:rsidR="00D41CAF" w:rsidRPr="00601C7F" w:rsidRDefault="00DE2D8B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Сеть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9-ти детских садов и одного структурного подразделения</w:t>
      </w:r>
      <w:r w:rsidR="00347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МБОУ </w:t>
      </w:r>
      <w:proofErr w:type="spellStart"/>
      <w:r w:rsidR="00347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Хемчиксой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муниципального района «Бай-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Тайгинский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РТ» 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полностью обеспечены педагогическими кадрами с небольшими отклонением, которые не влияют на качество предоставляе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мых услуг, показатель составил 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,7%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Обеспеченность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учебно-вспомогательным персоналом.</w:t>
      </w:r>
    </w:p>
    <w:p w:rsidR="00D41CAF" w:rsidRPr="00601C7F" w:rsidRDefault="00FC5516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полностью обеспечены педагогическими кадрами </w:t>
      </w:r>
      <w:proofErr w:type="gramStart"/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небольшими отклонением</w:t>
      </w:r>
      <w:proofErr w:type="gramEnd"/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которые не влияют на качество предоставляе</w:t>
      </w:r>
      <w:r w:rsidR="00F866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мых услуг, показатель составил 92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,8% Таким образом, показатель обеспеченности педагогическими кадрами и учебно-вспомогательным персоналом приближен к 100%. В дальнейшем в районе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планируется сохранение кадровой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политики, так как она является эффективной.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Наличие первой квалификационной категории у педагогических работников.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Наличие высшей квалификационной категории у педагогических работников;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Аттестация педагогических работников является одним из механизмов, стимулирующих качество образовательной деятельности. В ходе мониторинга выявлено, что данный показатель </w:t>
      </w:r>
      <w:r w:rsidR="004D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хорошем уровне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наличие первой квалифик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ационной категории только у 55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 педагогов, высшей – у 5% педагогов, что свидетельствует о наличии факторов, ведущих к 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повышению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качества дошкольног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образования.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Своевременность получения дополнительного профессионального образования (повышения квалификации) педагогическими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работниками и руководителем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педагоги и руководители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своевременно получают дополнительное профессиональное образование (повышение квалификации). Данный показатель составляет 100%.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аличие у педагогических работников высшего образования (по профилю деятельности).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Данный п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оказатель составляет только 50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%. В насто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ящее время такие специалисты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как учителя-логопеды, педагоги-психологи, старшие воспитатели имеют высшее обра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зование, однако у нескольких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музыкальных руководителей отмечается тенденция к снижению мотивации для получени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высшего образования, </w:t>
      </w:r>
      <w:proofErr w:type="gramStart"/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способствует</w:t>
      </w:r>
      <w:proofErr w:type="gram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1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незначительному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снижению к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ачества дошкольного образования.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7. Нагрузка на педагогов.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Данный показатель определялся способом выявления ДОУ</w:t>
      </w:r>
      <w:r w:rsidR="000E4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одну группу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котором макси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мальное значение показателя – 27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 и ДОУ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котором минимальное значение показателя – </w:t>
      </w:r>
      <w:r w:rsidR="00BB1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 детей, в результате среднее значение данного показ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ателя составляет 12 детей. В ДОУ</w:t>
      </w:r>
      <w:r w:rsidR="000E4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E4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кожууна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таким образом установлена оптимальная нагрузка на педагогов. Наметилась устойчивая тенденция к снижению численности детей в группах, особенно</w:t>
      </w:r>
      <w:r w:rsidR="000E4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малых сёлах как Дружба, Кызыл-</w:t>
      </w:r>
      <w:proofErr w:type="spellStart"/>
      <w:r w:rsidR="000E4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Даг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что способствует повышению качества предоставляемых услуг.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Развивающая предметно-пространственная среда.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качестве показателей, характеризующих развивающую предметно-пространств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енную среду (далее – РППС)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оцениваются ее соответствие пунктом 3.3.4. требований ФГОС ДО. В ФГОС ДО установлены следующие требования: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содержательная насыщенность среды;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пространства;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материалов;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вариативность среды;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доступность среды;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безопасность предметно-пространственной среды.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зданиях и на участке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имеются разнообразные материалы, оборудование и инвентарь, которые обеспечивают (в соответствии с реализуемой программой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двигательную активность, в том числе развитие крупной и мелкой моторики, участие в подвижных играх и соревнованиях;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эмоциональное благополучие детей во взаимодействии с предметно-пространственным окружением;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возможность самовыражения детей.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 всех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предусмотрена возможность изменений РППС в зависимости от образовательной ситуации, от интересов и возможностей детей.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группо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вых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имеются полифункциональные (не обладающих жестко закрепленным способом употребления) предметы, в том числе природные материалы, пригодные для использования в разных видах детской активности (в том числе в качестве предметов-заместителей в детской игре). Педагоги предусмотрели возможность разнообразного использования элементов предметной среды.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Следует отметить, что часто игровые материалы и оборудование изготовлены руками пе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дагогов и родителей, имеются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которых необходимо осуществлять обновление данных материалов и оборудования.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в помещениях и на участках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имеются разл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ичные пространства и материалы для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игрушки и оборудование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обеспечивающее свободному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выбор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детей. Данный показатель особенно важен в условиях работы разновозрастных групп.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овые материалы, стимулирующие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игровую, двигательную, познавательную и исследовательску</w:t>
      </w:r>
      <w:r w:rsidR="00247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 активность детей периодически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меняются и пополняются.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ко, </w:t>
      </w:r>
      <w:r w:rsidR="007C4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</w:t>
      </w:r>
      <w:r w:rsidR="007C4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сёлах 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малой численностью детей находятся в сл</w:t>
      </w:r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ожных условиях. В условиях </w:t>
      </w:r>
      <w:proofErr w:type="spellStart"/>
      <w:r w:rsid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душевого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финансирования возможности приобретения игрового, развивающего оборудования достаточно ограничены.</w:t>
      </w:r>
    </w:p>
    <w:p w:rsidR="00D41CAF" w:rsidRPr="00601C7F" w:rsidRDefault="00601C7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настоящее время в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осуществляется обучение 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тей с ОВЗ и детей-инвалидов. ДОУ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посещают дети с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наруш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ениями речевого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развития, 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дети</w:t>
      </w:r>
      <w:proofErr w:type="gramEnd"/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ЗПР. 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 как нет специализированных ДОУ для таких детей, в </w:t>
      </w:r>
      <w:proofErr w:type="spellStart"/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кожууне</w:t>
      </w:r>
      <w:proofErr w:type="spellEnd"/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компенсирующей направленности, 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 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данных категорий детей также обеспечена доступность помещений, где осуществляется образовательная деятельность,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их ИПРА документам созданы специальные адаптированные программы для обучения.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еется свободный доступ детей к 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игрушкам, материалам, пособиям, обеспечивающим все основные виды детской активности и коррекционной работы.</w:t>
      </w:r>
    </w:p>
    <w:p w:rsidR="00D41CAF" w:rsidRPr="00601C7F" w:rsidRDefault="009D3DB0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 всех ДОУ установлены пандусы, которые позволяют при желании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родителей  детей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колясочников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посещать дошкольное учреждение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астоящее время 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ДПЦ, а именно колясочников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ДОУ</w:t>
      </w:r>
      <w:r w:rsidR="00D41CAF"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нет.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оп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исанные показатели составляют 9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элементы РППС обеспечивают надежность и безопасность (физическую и психологическую) их использования. ДОО самостоятельно определяют средства обучения, в том числе технические, соответствующие материалы, игровое, спортивное, инвентарь, необходимые для реализации образовательной программы и несут ответственность за безопасность данного оборудования. Данный показатель приближен к 100%.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Психолого-педагогические условия.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качестве показателей, характеризующих психол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ого-педагогические условия в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оценивалось их соответствие требований ФГОС ДО: выдвигаются следующие требования к психолого-педагогическим условиям: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-уважение взрослых к человеческому достоинству детей, формирование и поддержка их положительной самооценки;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-поддержка взрослыми доброжелательного отношения детей друг к другу и взаимодействия детей друг с другом в разных видах деятельности;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защита детей от всех форм физического и психического насилия.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Данный показатель оценивается на 100%.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Собранны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материалы 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самообс</w:t>
      </w:r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едования</w:t>
      </w:r>
      <w:r w:rsidR="009D3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proofErr w:type="spellEnd"/>
      <w:r w:rsidR="00104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ДОУ</w:t>
      </w: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свидетельствуют о том, что педагоги 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 проявляют 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</w:p>
    <w:p w:rsidR="00D41CAF" w:rsidRPr="00601C7F" w:rsidRDefault="00D41CAF" w:rsidP="00347FF8">
      <w:pPr>
        <w:shd w:val="clear" w:color="auto" w:fill="FFFFFF"/>
        <w:spacing w:before="192" w:after="7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выявлено, что дети находятся в поле зрения педагогов, педагоги не ограничивают естественный шум в группе, не используют методы, которые могут испугать, унизить или обидеть ребенка, адекватно реагируют на жалобы детей.</w:t>
      </w:r>
    </w:p>
    <w:p w:rsidR="00D41CAF" w:rsidRDefault="00D41CAF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1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 проводят систематическую работу с семьями.</w:t>
      </w:r>
      <w:r w:rsidR="00347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 с родителями на хорошем уровне.</w:t>
      </w: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Default="00347FF8" w:rsidP="00347FF8">
      <w:pPr>
        <w:shd w:val="clear" w:color="auto" w:fill="FFFFFF"/>
        <w:spacing w:before="192" w:line="36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FF8" w:rsidRPr="00347FF8" w:rsidRDefault="00347FF8" w:rsidP="00347FF8">
      <w:pPr>
        <w:shd w:val="clear" w:color="auto" w:fill="FFFFFF"/>
        <w:spacing w:before="192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47FF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Исп.: </w:t>
      </w:r>
      <w:proofErr w:type="spellStart"/>
      <w:r w:rsidRPr="00347FF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Хертек</w:t>
      </w:r>
      <w:proofErr w:type="spellEnd"/>
      <w:r w:rsidRPr="00347FF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Т. А. методист </w:t>
      </w:r>
    </w:p>
    <w:p w:rsidR="00347FF8" w:rsidRPr="00347FF8" w:rsidRDefault="00347FF8" w:rsidP="00347FF8">
      <w:pPr>
        <w:shd w:val="clear" w:color="auto" w:fill="FFFFFF"/>
        <w:spacing w:before="192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47FF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 ДО МКУ УО 83944221456</w:t>
      </w:r>
    </w:p>
    <w:p w:rsidR="00A15412" w:rsidRPr="00601C7F" w:rsidRDefault="00A15412" w:rsidP="00347F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5412" w:rsidRPr="0060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E"/>
    <w:rsid w:val="000E4494"/>
    <w:rsid w:val="00104281"/>
    <w:rsid w:val="00150D24"/>
    <w:rsid w:val="00247BA7"/>
    <w:rsid w:val="00347FF8"/>
    <w:rsid w:val="004D0A84"/>
    <w:rsid w:val="00601C7F"/>
    <w:rsid w:val="00632CAA"/>
    <w:rsid w:val="007C42C8"/>
    <w:rsid w:val="008727D4"/>
    <w:rsid w:val="009A753A"/>
    <w:rsid w:val="009D3DB0"/>
    <w:rsid w:val="00A15412"/>
    <w:rsid w:val="00A15A29"/>
    <w:rsid w:val="00BB1615"/>
    <w:rsid w:val="00C7373E"/>
    <w:rsid w:val="00D41CAF"/>
    <w:rsid w:val="00DE2D8B"/>
    <w:rsid w:val="00F86671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BEE9-C1D5-4C4B-8A5F-B1086E8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taigosh@mail.ru</cp:lastModifiedBy>
  <cp:revision>31</cp:revision>
  <dcterms:created xsi:type="dcterms:W3CDTF">2022-08-08T11:30:00Z</dcterms:created>
  <dcterms:modified xsi:type="dcterms:W3CDTF">2022-08-12T12:10:00Z</dcterms:modified>
</cp:coreProperties>
</file>